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EA48D8" w14:textId="23DB5FB8" w:rsidR="00B123FF" w:rsidRPr="00455A3C" w:rsidRDefault="00BA7C33" w:rsidP="00F60A53">
      <w:pPr>
        <w:pStyle w:val="F2-zkladn"/>
        <w:spacing w:line="276" w:lineRule="auto"/>
        <w:rPr>
          <w:b/>
          <w:sz w:val="28"/>
          <w:szCs w:val="28"/>
        </w:rPr>
      </w:pPr>
      <w:r>
        <w:rPr>
          <w:b/>
          <w:sz w:val="28"/>
          <w:szCs w:val="28"/>
        </w:rPr>
        <w:t>ANALÝZA</w:t>
      </w:r>
    </w:p>
    <w:p w14:paraId="59F979EF" w14:textId="2D508968"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68E6FC63">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67622B"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3FC75D1C"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C3DE0DA">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F48FCE"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5654C8">
        <w:t>27</w:t>
      </w:r>
      <w:r w:rsidR="005420B4" w:rsidRPr="00893890">
        <w:t>.</w:t>
      </w:r>
      <w:r w:rsidR="00296EFF">
        <w:t xml:space="preserve"> </w:t>
      </w:r>
      <w:r w:rsidR="005654C8">
        <w:t>června</w:t>
      </w:r>
      <w:r w:rsidR="00EB4F26">
        <w:t xml:space="preserve"> </w:t>
      </w:r>
      <w:r w:rsidR="00A30105" w:rsidRPr="00893890">
        <w:t>20</w:t>
      </w:r>
      <w:r w:rsidR="00A7414F" w:rsidRPr="00893890">
        <w:t>2</w:t>
      </w:r>
      <w:r w:rsidR="00CB6DEB">
        <w:t>4</w:t>
      </w:r>
    </w:p>
    <w:p w14:paraId="7EECF1EA" w14:textId="24D140E2" w:rsidR="002027ED" w:rsidRPr="002027ED" w:rsidRDefault="002027ED" w:rsidP="002027ED">
      <w:pPr>
        <w:pStyle w:val="F2-zkladn"/>
        <w:tabs>
          <w:tab w:val="right" w:pos="9070"/>
        </w:tabs>
        <w:spacing w:line="276" w:lineRule="auto"/>
      </w:pPr>
    </w:p>
    <w:p w14:paraId="2E78882E" w14:textId="5B9A7FA6" w:rsidR="00E76BE0" w:rsidRPr="00725F39" w:rsidRDefault="00F90530" w:rsidP="00725F39">
      <w:pPr>
        <w:pStyle w:val="paragraph"/>
        <w:spacing w:before="0" w:beforeAutospacing="0" w:after="0" w:afterAutospacing="0" w:line="276" w:lineRule="auto"/>
        <w:jc w:val="both"/>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5654C8">
        <w:rPr>
          <w:rStyle w:val="normaltextrun"/>
          <w:rFonts w:ascii="Arial" w:hAnsi="Arial" w:cs="Arial"/>
          <w:b/>
          <w:bCs/>
          <w:color w:val="000000"/>
          <w:sz w:val="28"/>
          <w:szCs w:val="28"/>
          <w:lang w:val="cs-CZ"/>
        </w:rPr>
        <w:t>Investiční výhled na 3. čtvrtletí 2024: Hezky opatrně</w:t>
      </w:r>
    </w:p>
    <w:p w14:paraId="3E77B751" w14:textId="04643FD3" w:rsidR="00C7546F" w:rsidRPr="00C7546F" w:rsidRDefault="005654C8" w:rsidP="00C7546F">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Riziková aktiva vypadají atraktivně a ekonomiky po celém světě zůstávají silné. Některé regiony se vydávají vlastní cestou, což otevírá samostatné příležitosti. </w:t>
      </w:r>
    </w:p>
    <w:p w14:paraId="07AEB948" w14:textId="77777777" w:rsidR="005654C8" w:rsidRDefault="005654C8" w:rsidP="005654C8">
      <w:pPr>
        <w:spacing w:after="210" w:line="360" w:lineRule="auto"/>
        <w:rPr>
          <w:color w:val="20242B"/>
          <w:shd w:val="clear" w:color="auto" w:fill="FFFFFF"/>
        </w:rPr>
      </w:pPr>
      <w:r>
        <w:rPr>
          <w:color w:val="20242B"/>
          <w:shd w:val="clear" w:color="auto" w:fill="FFFFFF"/>
        </w:rPr>
        <w:t>Je tady postpandemické oživění, na něž jsme tak dlouho čekali?</w:t>
      </w:r>
    </w:p>
    <w:p w14:paraId="3F96AE20" w14:textId="11BB4AE6" w:rsidR="005654C8" w:rsidRDefault="005654C8" w:rsidP="005654C8">
      <w:pPr>
        <w:spacing w:after="210" w:line="360" w:lineRule="auto"/>
        <w:rPr>
          <w:color w:val="20242B"/>
          <w:shd w:val="clear" w:color="auto" w:fill="FFFFFF"/>
        </w:rPr>
      </w:pPr>
      <w:r w:rsidRPr="005654C8">
        <w:rPr>
          <w:color w:val="20242B"/>
          <w:shd w:val="clear" w:color="auto" w:fill="FFFFFF"/>
        </w:rPr>
        <w:t xml:space="preserve">Ekonomika si letos udržuje slušné tempo, přičemž trhy práce a spotřebitelská poptávka si nacházejí zdravější rovnováhu. Tento posun částečně uklidnil hlavní obavy na trzích, že by ekonomiky </w:t>
      </w:r>
      <w:r w:rsidRPr="00B62948">
        <w:t>–</w:t>
      </w:r>
      <w:r w:rsidRPr="001358B3">
        <w:t xml:space="preserve"> </w:t>
      </w:r>
      <w:r w:rsidRPr="005654C8">
        <w:rPr>
          <w:color w:val="20242B"/>
          <w:shd w:val="clear" w:color="auto" w:fill="FFFFFF"/>
        </w:rPr>
        <w:t xml:space="preserve">i inflace </w:t>
      </w:r>
      <w:r w:rsidRPr="00B62948">
        <w:t>–</w:t>
      </w:r>
      <w:r w:rsidRPr="001358B3">
        <w:t xml:space="preserve"> </w:t>
      </w:r>
      <w:r w:rsidRPr="005654C8">
        <w:rPr>
          <w:color w:val="20242B"/>
          <w:shd w:val="clear" w:color="auto" w:fill="FFFFFF"/>
        </w:rPr>
        <w:t>dokázaly nadále vzdorovat zpřísňující se politice centrálních bank.</w:t>
      </w:r>
    </w:p>
    <w:p w14:paraId="799CFE19" w14:textId="77777777" w:rsidR="005654C8" w:rsidRPr="005654C8" w:rsidRDefault="005654C8" w:rsidP="005654C8">
      <w:pPr>
        <w:rPr>
          <w:color w:val="20242B"/>
          <w:shd w:val="clear" w:color="auto" w:fill="FFFFFF"/>
        </w:rPr>
      </w:pPr>
      <w:r w:rsidRPr="005654C8">
        <w:rPr>
          <w:color w:val="20242B"/>
          <w:shd w:val="clear" w:color="auto" w:fill="FFFFFF"/>
        </w:rPr>
        <w:t>Tento optimističtější ekonomický fundament vede naše úvahy o třech hlavních tématech pro třetí čtvrtletí.</w:t>
      </w:r>
    </w:p>
    <w:p w14:paraId="34B3E817" w14:textId="77777777" w:rsidR="005654C8" w:rsidRDefault="005654C8" w:rsidP="005654C8">
      <w:r w:rsidRPr="005654C8">
        <w:rPr>
          <w:color w:val="20242B"/>
          <w:shd w:val="clear" w:color="auto" w:fill="FFFFFF"/>
        </w:rPr>
        <w:t xml:space="preserve">Prvním z nich je, že nastala vhodná doba pro akciovou expozici. </w:t>
      </w:r>
    </w:p>
    <w:p w14:paraId="05827A5D" w14:textId="01523DA0" w:rsidR="005654C8" w:rsidRDefault="005654C8" w:rsidP="005654C8">
      <w:pPr>
        <w:rPr>
          <w:color w:val="20242B"/>
          <w:shd w:val="clear" w:color="auto" w:fill="FFFFFF"/>
        </w:rPr>
      </w:pPr>
      <w:r w:rsidRPr="005654C8">
        <w:rPr>
          <w:color w:val="20242B"/>
          <w:shd w:val="clear" w:color="auto" w:fill="FFFFFF"/>
        </w:rPr>
        <w:t>Druhým je Čína. Spouštět oči z druhé největší světové ekonomiky nepovažujeme za moudré, ačkoliv investoři se prozatím drží od jejích břehů dál. Zdá se, že politici jsou s heslem "řízené stabilizace" ochotnější reálně podpořit ekonomiku.</w:t>
      </w:r>
    </w:p>
    <w:p w14:paraId="7E3C603E" w14:textId="77777777" w:rsidR="0025641E" w:rsidRDefault="0025641E" w:rsidP="0025641E">
      <w:r>
        <w:t xml:space="preserve">Poslední úvaha je spíše taktického ražení. S tím, jak ekonomiky divergují a otevírají se nové perspektivy, budou investoři chtít aktivněji přistupovat ke správě portfolia. </w:t>
      </w:r>
    </w:p>
    <w:p w14:paraId="194FAA00" w14:textId="77777777" w:rsidR="0025641E" w:rsidRDefault="0025641E" w:rsidP="0025641E">
      <w:pPr>
        <w:pStyle w:val="F2-zkladn"/>
        <w:spacing w:line="276" w:lineRule="auto"/>
        <w:rPr>
          <w:rFonts w:asciiTheme="minorHAnsi" w:hAnsiTheme="minorHAnsi" w:cstheme="minorHAnsi"/>
          <w:b/>
          <w:bCs/>
          <w:sz w:val="24"/>
          <w:szCs w:val="24"/>
        </w:rPr>
      </w:pPr>
      <w:r>
        <w:rPr>
          <w:rFonts w:asciiTheme="minorHAnsi" w:hAnsiTheme="minorHAnsi" w:cstheme="minorHAnsi"/>
          <w:b/>
          <w:bCs/>
          <w:sz w:val="24"/>
          <w:szCs w:val="24"/>
        </w:rPr>
        <w:t>Měkké přistání a „risk on“</w:t>
      </w:r>
    </w:p>
    <w:p w14:paraId="0FA24552" w14:textId="6A45F833" w:rsidR="0025641E" w:rsidRPr="0025641E" w:rsidRDefault="0025641E" w:rsidP="0025641E">
      <w:pPr>
        <w:pStyle w:val="F2-zkladn"/>
        <w:spacing w:line="360" w:lineRule="auto"/>
        <w:rPr>
          <w:rFonts w:asciiTheme="minorHAnsi" w:hAnsiTheme="minorHAnsi" w:cstheme="minorHAnsi"/>
          <w:b/>
          <w:bCs/>
          <w:sz w:val="24"/>
          <w:szCs w:val="24"/>
        </w:rPr>
      </w:pPr>
      <w:r>
        <w:t>Ekonomický příběh roku 2024 zatím stojí na pevných základech. Podle některých signálů si USA stále udržují vedení, ale zdá se, že Evropa a Spojené království se nadechují, aby podaly lepší výkony. Na druhé straně, díky pokračující stabilizaci v Číně by mohl povolit její deflační tlak na globální ekonomiku.</w:t>
      </w:r>
    </w:p>
    <w:p w14:paraId="4721FEE5" w14:textId="77777777" w:rsidR="0025641E" w:rsidRDefault="0025641E" w:rsidP="0025641E">
      <w:pPr>
        <w:pStyle w:val="F2-zkladn"/>
      </w:pPr>
    </w:p>
    <w:p w14:paraId="7E2D246A" w14:textId="77777777" w:rsidR="0025641E" w:rsidRDefault="0025641E" w:rsidP="0025641E">
      <w:pPr>
        <w:pStyle w:val="F2-zkladn"/>
      </w:pPr>
    </w:p>
    <w:p w14:paraId="7DDE8561" w14:textId="77777777" w:rsidR="0025641E" w:rsidRDefault="0025641E" w:rsidP="0025641E">
      <w:pPr>
        <w:pStyle w:val="F2-zkladn"/>
      </w:pPr>
    </w:p>
    <w:p w14:paraId="61B50EDD" w14:textId="77777777" w:rsidR="0025641E" w:rsidRDefault="0025641E" w:rsidP="0025641E">
      <w:pPr>
        <w:pStyle w:val="F2-zkladn"/>
      </w:pPr>
    </w:p>
    <w:p w14:paraId="223251E0" w14:textId="77777777" w:rsidR="0025641E" w:rsidRPr="0025641E" w:rsidRDefault="0025641E" w:rsidP="0025641E">
      <w:pPr>
        <w:pStyle w:val="F2-zkladn"/>
      </w:pPr>
    </w:p>
    <w:p w14:paraId="56C5BA34" w14:textId="52502064" w:rsidR="007F1028" w:rsidRDefault="005654C8" w:rsidP="007F1028">
      <w:pPr>
        <w:pStyle w:val="F2-zkladn"/>
        <w:spacing w:line="360" w:lineRule="auto"/>
        <w:rPr>
          <w:rFonts w:asciiTheme="minorHAnsi" w:hAnsiTheme="minorHAnsi" w:cstheme="minorHAnsi"/>
          <w:b/>
          <w:bCs/>
          <w:sz w:val="24"/>
          <w:szCs w:val="24"/>
        </w:rPr>
      </w:pPr>
      <w:r>
        <w:rPr>
          <w:rFonts w:asciiTheme="minorHAnsi" w:hAnsiTheme="minorHAnsi" w:cstheme="minorHAnsi"/>
          <w:b/>
          <w:bCs/>
          <w:sz w:val="24"/>
          <w:szCs w:val="24"/>
        </w:rPr>
        <w:lastRenderedPageBreak/>
        <w:t>Graf 1: Růst zisků v USA a Japonsku hnací silou výkonnosti</w:t>
      </w:r>
    </w:p>
    <w:p w14:paraId="4E82E38C" w14:textId="3661169C" w:rsidR="007F694C" w:rsidRPr="007F694C" w:rsidRDefault="007F694C" w:rsidP="00B62948">
      <w:pPr>
        <w:pStyle w:val="FIL3Body"/>
        <w:spacing w:line="360" w:lineRule="auto"/>
        <w:jc w:val="both"/>
        <w:rPr>
          <w:rFonts w:cs="Arial"/>
          <w:i/>
          <w:iCs/>
          <w:color w:val="20242B"/>
          <w:szCs w:val="18"/>
          <w:shd w:val="clear" w:color="auto" w:fill="FFFFFF"/>
          <w:lang w:val="cs-CZ" w:eastAsia="cs-CZ"/>
        </w:rPr>
      </w:pPr>
      <w:r w:rsidRPr="00F53ABE">
        <w:rPr>
          <w:noProof/>
        </w:rPr>
        <w:drawing>
          <wp:inline distT="0" distB="0" distL="0" distR="0" wp14:anchorId="63B4BBC7" wp14:editId="27949F7B">
            <wp:extent cx="5733415" cy="2541270"/>
            <wp:effectExtent l="0" t="0" r="635" b="0"/>
            <wp:docPr id="47459091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590916" name=""/>
                    <pic:cNvPicPr/>
                  </pic:nvPicPr>
                  <pic:blipFill>
                    <a:blip r:embed="rId12"/>
                    <a:stretch>
                      <a:fillRect/>
                    </a:stretch>
                  </pic:blipFill>
                  <pic:spPr>
                    <a:xfrm>
                      <a:off x="0" y="0"/>
                      <a:ext cx="5733415" cy="2541270"/>
                    </a:xfrm>
                    <a:prstGeom prst="rect">
                      <a:avLst/>
                    </a:prstGeom>
                  </pic:spPr>
                </pic:pic>
              </a:graphicData>
            </a:graphic>
          </wp:inline>
        </w:drawing>
      </w:r>
      <w:r w:rsidRPr="007F694C">
        <w:rPr>
          <w:rFonts w:cs="Arial"/>
          <w:i/>
          <w:iCs/>
          <w:color w:val="20242B"/>
          <w:szCs w:val="18"/>
          <w:shd w:val="clear" w:color="auto" w:fill="FFFFFF"/>
          <w:lang w:val="cs-CZ" w:eastAsia="cs-CZ"/>
        </w:rPr>
        <w:t xml:space="preserve">Zdroj: </w:t>
      </w:r>
      <w:proofErr w:type="spellStart"/>
      <w:r w:rsidRPr="007F694C">
        <w:rPr>
          <w:rFonts w:cs="Arial"/>
          <w:i/>
          <w:iCs/>
          <w:color w:val="20242B"/>
          <w:szCs w:val="18"/>
          <w:shd w:val="clear" w:color="auto" w:fill="FFFFFF"/>
          <w:lang w:val="cs-CZ" w:eastAsia="cs-CZ"/>
        </w:rPr>
        <w:t>Refinitiv</w:t>
      </w:r>
      <w:proofErr w:type="spellEnd"/>
      <w:r w:rsidRPr="007F694C">
        <w:rPr>
          <w:rFonts w:cs="Arial"/>
          <w:i/>
          <w:iCs/>
          <w:color w:val="20242B"/>
          <w:szCs w:val="18"/>
          <w:shd w:val="clear" w:color="auto" w:fill="FFFFFF"/>
          <w:lang w:val="cs-CZ" w:eastAsia="cs-CZ"/>
        </w:rPr>
        <w:t xml:space="preserve"> </w:t>
      </w:r>
      <w:proofErr w:type="spellStart"/>
      <w:r w:rsidRPr="007F694C">
        <w:rPr>
          <w:rFonts w:cs="Arial"/>
          <w:i/>
          <w:iCs/>
          <w:color w:val="20242B"/>
          <w:szCs w:val="18"/>
          <w:shd w:val="clear" w:color="auto" w:fill="FFFFFF"/>
          <w:lang w:val="cs-CZ" w:eastAsia="cs-CZ"/>
        </w:rPr>
        <w:t>Datastream</w:t>
      </w:r>
      <w:proofErr w:type="spellEnd"/>
      <w:r w:rsidRPr="007F694C">
        <w:rPr>
          <w:rFonts w:cs="Arial"/>
          <w:i/>
          <w:iCs/>
          <w:color w:val="20242B"/>
          <w:szCs w:val="18"/>
          <w:shd w:val="clear" w:color="auto" w:fill="FFFFFF"/>
          <w:lang w:val="cs-CZ" w:eastAsia="cs-CZ"/>
        </w:rPr>
        <w:t xml:space="preserve">, </w:t>
      </w:r>
      <w:proofErr w:type="spellStart"/>
      <w:r w:rsidRPr="007F694C">
        <w:rPr>
          <w:rFonts w:cs="Arial"/>
          <w:i/>
          <w:iCs/>
          <w:color w:val="20242B"/>
          <w:szCs w:val="18"/>
          <w:shd w:val="clear" w:color="auto" w:fill="FFFFFF"/>
          <w:lang w:val="cs-CZ" w:eastAsia="cs-CZ"/>
        </w:rPr>
        <w:t>Fidelity</w:t>
      </w:r>
      <w:proofErr w:type="spellEnd"/>
      <w:r w:rsidRPr="007F694C">
        <w:rPr>
          <w:rFonts w:cs="Arial"/>
          <w:i/>
          <w:iCs/>
          <w:color w:val="20242B"/>
          <w:szCs w:val="18"/>
          <w:shd w:val="clear" w:color="auto" w:fill="FFFFFF"/>
          <w:lang w:val="cs-CZ" w:eastAsia="cs-CZ"/>
        </w:rPr>
        <w:t xml:space="preserve"> International, červen 2024.</w:t>
      </w:r>
    </w:p>
    <w:p w14:paraId="0FC718B4" w14:textId="77777777" w:rsidR="00D27FD3" w:rsidRDefault="00DA1684" w:rsidP="00D27FD3">
      <w:pPr>
        <w:rPr>
          <w:color w:val="20242B"/>
          <w:shd w:val="clear" w:color="auto" w:fill="FFFFFF"/>
        </w:rPr>
      </w:pPr>
      <w:r w:rsidRPr="00DA1684">
        <w:rPr>
          <w:color w:val="20242B"/>
          <w:shd w:val="clear" w:color="auto" w:fill="FFFFFF"/>
        </w:rPr>
        <w:t xml:space="preserve">Vytrvalá inflace i nadále chladí přílišná očekávání. V minulém čtvrtletí jsme touto dobou vyslovili obavy, že by napjatý trh práce mohl donutit americký Federální rezervní systém k delšímu setrvávání při vyšších sazbách, což by mohlo narušit zatím pozitivní dynamiku roku 2024. Reporty z trhu práce v červnu signalizují napjatější stav, než by si Fed přál, ale díky ochlazení květnové inflace roste naše důvěra, že ceny již nebudou dál zrychlovat. Možný rozsah případného snížení sazeb ze strany </w:t>
      </w:r>
      <w:proofErr w:type="spellStart"/>
      <w:r w:rsidRPr="00DA1684">
        <w:rPr>
          <w:color w:val="20242B"/>
          <w:shd w:val="clear" w:color="auto" w:fill="FFFFFF"/>
        </w:rPr>
        <w:t>Fedu</w:t>
      </w:r>
      <w:proofErr w:type="spellEnd"/>
      <w:r w:rsidRPr="00DA1684">
        <w:rPr>
          <w:color w:val="20242B"/>
          <w:shd w:val="clear" w:color="auto" w:fill="FFFFFF"/>
        </w:rPr>
        <w:t xml:space="preserve"> se však od začátku roku výrazně zmenšil. Domníváme se, že laťka pro zahájení cyklu snižování sazeb zůstává vysoko, ale poslední zlepšení inflace je povzbudivou zprávou.</w:t>
      </w:r>
    </w:p>
    <w:p w14:paraId="00093AB1" w14:textId="3BBA7271" w:rsidR="00D27FD3" w:rsidRDefault="00D27FD3" w:rsidP="00D27FD3">
      <w:pPr>
        <w:rPr>
          <w:color w:val="20242B"/>
          <w:shd w:val="clear" w:color="auto" w:fill="FFFFFF"/>
        </w:rPr>
      </w:pPr>
      <w:r w:rsidRPr="00D27FD3">
        <w:rPr>
          <w:color w:val="20242B"/>
          <w:shd w:val="clear" w:color="auto" w:fill="FFFFFF"/>
        </w:rPr>
        <w:t xml:space="preserve">Měkké přistání je v tuto chvíli nejpravděpodobnějším scénářem – a to je dobrá zpráva pro globální růst i pro investory, kteří jsou ochotni podstoupit akciové riziko.  </w:t>
      </w:r>
    </w:p>
    <w:p w14:paraId="724FAF82" w14:textId="6BA4FE16" w:rsidR="002B4A3F" w:rsidRDefault="002B4A3F" w:rsidP="002B4A3F">
      <w:pPr>
        <w:pStyle w:val="F2-zkladn"/>
        <w:spacing w:line="276" w:lineRule="auto"/>
        <w:rPr>
          <w:rFonts w:asciiTheme="minorHAnsi" w:hAnsiTheme="minorHAnsi" w:cstheme="minorHAnsi"/>
          <w:b/>
          <w:bCs/>
          <w:sz w:val="24"/>
          <w:szCs w:val="24"/>
        </w:rPr>
      </w:pPr>
      <w:r>
        <w:rPr>
          <w:rFonts w:asciiTheme="minorHAnsi" w:hAnsiTheme="minorHAnsi" w:cstheme="minorHAnsi"/>
          <w:b/>
          <w:bCs/>
          <w:sz w:val="24"/>
          <w:szCs w:val="24"/>
        </w:rPr>
        <w:t>Řízená stabilizace v Číně</w:t>
      </w:r>
    </w:p>
    <w:p w14:paraId="77F5190D" w14:textId="77777777" w:rsidR="002B4A3F" w:rsidRPr="002B4A3F" w:rsidRDefault="002B4A3F" w:rsidP="002B4A3F">
      <w:pPr>
        <w:spacing w:line="276" w:lineRule="auto"/>
        <w:rPr>
          <w:color w:val="20242B"/>
          <w:shd w:val="clear" w:color="auto" w:fill="FFFFFF"/>
        </w:rPr>
      </w:pPr>
      <w:r w:rsidRPr="002B4A3F">
        <w:rPr>
          <w:color w:val="20242B"/>
          <w:shd w:val="clear" w:color="auto" w:fill="FFFFFF"/>
        </w:rPr>
        <w:t xml:space="preserve">Nadále se domníváme, že rok 2024 bude pro Čínu ve znamení "řízené stabilizace". Politici se snaží omezit dominantní postavení nemovitostního sektoru a posunout ekonomickou rovnováhu směrem ke spotřebě a výrobě s vyšší přidanou hodnotou. </w:t>
      </w:r>
    </w:p>
    <w:p w14:paraId="2A5EE473" w14:textId="555A1668" w:rsidR="002B4A3F" w:rsidRPr="002B4A3F" w:rsidRDefault="002B4A3F" w:rsidP="002B4A3F">
      <w:pPr>
        <w:rPr>
          <w:color w:val="20242B"/>
          <w:shd w:val="clear" w:color="auto" w:fill="FFFFFF"/>
        </w:rPr>
      </w:pPr>
      <w:r w:rsidRPr="002B4A3F">
        <w:rPr>
          <w:color w:val="20242B"/>
          <w:shd w:val="clear" w:color="auto" w:fill="FFFFFF"/>
        </w:rPr>
        <w:t xml:space="preserve">Investorům nějakou dobu trvalo, než se na tuto změnu adaptovali </w:t>
      </w:r>
      <w:r w:rsidRPr="00D27FD3">
        <w:rPr>
          <w:color w:val="20242B"/>
          <w:shd w:val="clear" w:color="auto" w:fill="FFFFFF"/>
        </w:rPr>
        <w:t>–</w:t>
      </w:r>
      <w:r w:rsidRPr="002B4A3F">
        <w:rPr>
          <w:color w:val="20242B"/>
          <w:shd w:val="clear" w:color="auto" w:fill="FFFFFF"/>
        </w:rPr>
        <w:t xml:space="preserve"> zejména po anemickém návratu ekonomiky z pandemie, který omezil investiční apetit v Číně -, ale sentiment se začíná otáčet, byť z nízkých úrovní. S tím, jak se postupně zvedá poptávka po zboží a službách se čínská ekonomika postupně normalizuje. </w:t>
      </w:r>
    </w:p>
    <w:p w14:paraId="6BBF9CAD" w14:textId="77777777" w:rsidR="00A70423" w:rsidRPr="00A70423" w:rsidRDefault="00A70423" w:rsidP="00A70423">
      <w:pPr>
        <w:rPr>
          <w:color w:val="20242B"/>
          <w:shd w:val="clear" w:color="auto" w:fill="FFFFFF"/>
        </w:rPr>
      </w:pPr>
      <w:r w:rsidRPr="00A70423">
        <w:rPr>
          <w:color w:val="20242B"/>
          <w:shd w:val="clear" w:color="auto" w:fill="FFFFFF"/>
        </w:rPr>
        <w:t xml:space="preserve">Rovněž změny politického kurzu začínají v některých oblastech čínské ekonomiky přinášet ovoce. Nejzřetelnější je to vidět ve zpracovatelském průmyslu, který podporuje oživení zámořské poptávky. Určité optimistické signály přicházejí také ze spotřeby, v čele s oživením v oblasti prázdninového cestování. </w:t>
      </w:r>
    </w:p>
    <w:p w14:paraId="0B5D7697" w14:textId="77777777" w:rsidR="0032573A" w:rsidRPr="0032573A" w:rsidRDefault="0032573A" w:rsidP="0032573A">
      <w:pPr>
        <w:rPr>
          <w:color w:val="20242B"/>
          <w:shd w:val="clear" w:color="auto" w:fill="FFFFFF"/>
        </w:rPr>
      </w:pPr>
      <w:r w:rsidRPr="0032573A">
        <w:rPr>
          <w:color w:val="20242B"/>
          <w:shd w:val="clear" w:color="auto" w:fill="FFFFFF"/>
        </w:rPr>
        <w:t>Tato stabilizace je pro Čínu dobrou zprávou. Je také dobrým znamením pro ostatní regionální ekonomiky a investory, kteří si oddechnou, že ustupuje negativní sentiment, který v zemi panoval v první polovině roku.</w:t>
      </w:r>
    </w:p>
    <w:p w14:paraId="78928E1C" w14:textId="18144E47" w:rsidR="00B62948" w:rsidRDefault="0032573A" w:rsidP="002268F9">
      <w:pPr>
        <w:pStyle w:val="F2-zkladn"/>
        <w:spacing w:line="276" w:lineRule="auto"/>
        <w:rPr>
          <w:rFonts w:asciiTheme="minorHAnsi" w:hAnsiTheme="minorHAnsi" w:cstheme="minorHAnsi"/>
          <w:b/>
          <w:bCs/>
          <w:sz w:val="24"/>
          <w:szCs w:val="24"/>
        </w:rPr>
      </w:pPr>
      <w:r>
        <w:rPr>
          <w:rFonts w:asciiTheme="minorHAnsi" w:hAnsiTheme="minorHAnsi" w:cstheme="minorHAnsi"/>
          <w:b/>
          <w:bCs/>
          <w:sz w:val="24"/>
          <w:szCs w:val="24"/>
        </w:rPr>
        <w:lastRenderedPageBreak/>
        <w:t>Čas taktizovat</w:t>
      </w:r>
    </w:p>
    <w:p w14:paraId="59153F70" w14:textId="77777777" w:rsidR="002268F9" w:rsidRPr="00255335" w:rsidRDefault="002268F9" w:rsidP="002268F9">
      <w:pPr>
        <w:spacing w:line="276" w:lineRule="auto"/>
        <w:rPr>
          <w:color w:val="20242B"/>
          <w:shd w:val="clear" w:color="auto" w:fill="FFFFFF"/>
        </w:rPr>
      </w:pPr>
      <w:r w:rsidRPr="00255335">
        <w:rPr>
          <w:color w:val="20242B"/>
          <w:shd w:val="clear" w:color="auto" w:fill="FFFFFF"/>
        </w:rPr>
        <w:t xml:space="preserve">Pevné fundamenty a zvedající se Čína otevírají dveře pro přidání rizika do našich portfolií. Je však třeba rozlišit drobné nuance: očekáváme, že divergence mezi regiony a sektory budou ve 3. čtvrtletí pravděpodobně vysoké, je tudíž třeba takticky rozmýšlet. </w:t>
      </w:r>
    </w:p>
    <w:p w14:paraId="661DBD8C" w14:textId="77777777" w:rsidR="00255335" w:rsidRPr="00255335" w:rsidRDefault="00255335" w:rsidP="00255335">
      <w:pPr>
        <w:rPr>
          <w:color w:val="20242B"/>
          <w:shd w:val="clear" w:color="auto" w:fill="FFFFFF"/>
        </w:rPr>
      </w:pPr>
      <w:r w:rsidRPr="00255335">
        <w:rPr>
          <w:color w:val="20242B"/>
          <w:shd w:val="clear" w:color="auto" w:fill="FFFFFF"/>
        </w:rPr>
        <w:t xml:space="preserve">Jedním z bodů divergence je měnová politika napříč rozvinutými trhy. Eurozóna snížila sazby dříve než USA, jak jsme očekávali. To sice vytváří určitý základ, aby Evropa navázala na pozitivní dynamiku z posledních měsíců, ale riziko devalvace eura znamená, že další postup Evropské centrální banky (ECB) při uvolňování měnové politiky je úzce navázán na další počínání </w:t>
      </w:r>
      <w:proofErr w:type="spellStart"/>
      <w:r w:rsidRPr="00255335">
        <w:rPr>
          <w:color w:val="20242B"/>
          <w:shd w:val="clear" w:color="auto" w:fill="FFFFFF"/>
        </w:rPr>
        <w:t>Fedu</w:t>
      </w:r>
      <w:proofErr w:type="spellEnd"/>
      <w:r w:rsidRPr="00255335">
        <w:rPr>
          <w:color w:val="20242B"/>
          <w:shd w:val="clear" w:color="auto" w:fill="FFFFFF"/>
        </w:rPr>
        <w:t>. Považujeme za nepravděpodobné, že by ECB dále výrazně snižovala sazby, aniž by Fed následoval jejího příkladu.</w:t>
      </w:r>
    </w:p>
    <w:p w14:paraId="22042637" w14:textId="6C10851F" w:rsidR="007F1028" w:rsidRPr="00A40E0E" w:rsidRDefault="00255335" w:rsidP="00A40E0E">
      <w:pPr>
        <w:rPr>
          <w:color w:val="20242B"/>
          <w:shd w:val="clear" w:color="auto" w:fill="FFFFFF"/>
        </w:rPr>
      </w:pPr>
      <w:r w:rsidRPr="00255335">
        <w:rPr>
          <w:color w:val="20242B"/>
          <w:shd w:val="clear" w:color="auto" w:fill="FFFFFF"/>
        </w:rPr>
        <w:t xml:space="preserve">Podmínky se zdají být dobře nastavené, aby americké a japonské akcie pokračovaly ve své </w:t>
      </w:r>
      <w:proofErr w:type="spellStart"/>
      <w:r w:rsidRPr="00255335">
        <w:rPr>
          <w:color w:val="20242B"/>
          <w:shd w:val="clear" w:color="auto" w:fill="FFFFFF"/>
        </w:rPr>
        <w:t>rally</w:t>
      </w:r>
      <w:proofErr w:type="spellEnd"/>
      <w:r w:rsidRPr="00255335">
        <w:rPr>
          <w:color w:val="20242B"/>
          <w:shd w:val="clear" w:color="auto" w:fill="FFFFFF"/>
        </w:rPr>
        <w:t xml:space="preserve">. Robustní růst a zdravé zisky v prvním případě spolu se strukturálními vlivy a institucionálními reformami v druhém případě do jisté míry ospravedlňují rostoucí valuace v těchto regionech. To ale není vše – zejména v USA hledáme hodnotu mimo největší </w:t>
      </w:r>
      <w:proofErr w:type="spellStart"/>
      <w:r w:rsidRPr="00255335">
        <w:rPr>
          <w:color w:val="20242B"/>
          <w:shd w:val="clear" w:color="auto" w:fill="FFFFFF"/>
        </w:rPr>
        <w:t>hype</w:t>
      </w:r>
      <w:proofErr w:type="spellEnd"/>
      <w:r w:rsidRPr="00255335">
        <w:rPr>
          <w:color w:val="20242B"/>
          <w:shd w:val="clear" w:color="auto" w:fill="FFFFFF"/>
        </w:rPr>
        <w:t xml:space="preserve"> na trhu. Středně kapitalizované společnosti nabízejí silný potenciál dlouhodobého růstu za rozumnou cenu a měly by také vykázat přiměřenou odolnost vůči vyšším sazbám.</w:t>
      </w:r>
    </w:p>
    <w:p w14:paraId="13AC4572" w14:textId="29A89FDC" w:rsidR="00B62948" w:rsidRDefault="00A40E0E" w:rsidP="00B62948">
      <w:pPr>
        <w:pStyle w:val="F2-zkladn"/>
        <w:spacing w:line="360" w:lineRule="auto"/>
        <w:rPr>
          <w:rFonts w:asciiTheme="minorHAnsi" w:hAnsiTheme="minorHAnsi" w:cstheme="minorHAnsi"/>
          <w:b/>
          <w:bCs/>
          <w:sz w:val="24"/>
          <w:szCs w:val="24"/>
        </w:rPr>
      </w:pPr>
      <w:r>
        <w:rPr>
          <w:rFonts w:asciiTheme="minorHAnsi" w:hAnsiTheme="minorHAnsi" w:cstheme="minorHAnsi"/>
          <w:b/>
          <w:bCs/>
          <w:sz w:val="24"/>
          <w:szCs w:val="24"/>
        </w:rPr>
        <w:t xml:space="preserve">Graf 2: Hodnotu v USA hledejte mezi </w:t>
      </w:r>
      <w:proofErr w:type="spellStart"/>
      <w:r>
        <w:rPr>
          <w:rFonts w:asciiTheme="minorHAnsi" w:hAnsiTheme="minorHAnsi" w:cstheme="minorHAnsi"/>
          <w:b/>
          <w:bCs/>
          <w:sz w:val="24"/>
          <w:szCs w:val="24"/>
        </w:rPr>
        <w:t>mid</w:t>
      </w:r>
      <w:proofErr w:type="spellEnd"/>
      <w:r>
        <w:rPr>
          <w:rFonts w:asciiTheme="minorHAnsi" w:hAnsiTheme="minorHAnsi" w:cstheme="minorHAnsi"/>
          <w:b/>
          <w:bCs/>
          <w:sz w:val="24"/>
          <w:szCs w:val="24"/>
        </w:rPr>
        <w:t>-capy</w:t>
      </w:r>
    </w:p>
    <w:p w14:paraId="16DFC517" w14:textId="60116681" w:rsidR="00A40E0E" w:rsidRDefault="00A40E0E" w:rsidP="00B62948">
      <w:pPr>
        <w:pStyle w:val="F2-zkladn"/>
        <w:spacing w:line="360" w:lineRule="auto"/>
        <w:rPr>
          <w:rFonts w:asciiTheme="minorHAnsi" w:hAnsiTheme="minorHAnsi" w:cstheme="minorHAnsi"/>
          <w:b/>
          <w:bCs/>
          <w:sz w:val="24"/>
          <w:szCs w:val="24"/>
        </w:rPr>
      </w:pPr>
      <w:r w:rsidRPr="00A40E0E">
        <w:rPr>
          <w:rFonts w:asciiTheme="minorHAnsi" w:hAnsiTheme="minorHAnsi" w:cstheme="minorHAnsi"/>
          <w:b/>
          <w:bCs/>
          <w:noProof/>
          <w:sz w:val="24"/>
          <w:szCs w:val="24"/>
        </w:rPr>
        <w:drawing>
          <wp:inline distT="0" distB="0" distL="0" distR="0" wp14:anchorId="16965C06" wp14:editId="2687F1E5">
            <wp:extent cx="5759450" cy="2493010"/>
            <wp:effectExtent l="0" t="0" r="0" b="2540"/>
            <wp:docPr id="79328884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88849" name=""/>
                    <pic:cNvPicPr/>
                  </pic:nvPicPr>
                  <pic:blipFill>
                    <a:blip r:embed="rId13"/>
                    <a:stretch>
                      <a:fillRect/>
                    </a:stretch>
                  </pic:blipFill>
                  <pic:spPr>
                    <a:xfrm>
                      <a:off x="0" y="0"/>
                      <a:ext cx="5759450" cy="2493010"/>
                    </a:xfrm>
                    <a:prstGeom prst="rect">
                      <a:avLst/>
                    </a:prstGeom>
                  </pic:spPr>
                </pic:pic>
              </a:graphicData>
            </a:graphic>
          </wp:inline>
        </w:drawing>
      </w:r>
    </w:p>
    <w:p w14:paraId="1E8A035C" w14:textId="77777777" w:rsidR="00A40E0E" w:rsidRPr="00A40E0E" w:rsidRDefault="00A40E0E" w:rsidP="00A40E0E">
      <w:pPr>
        <w:rPr>
          <w:i/>
          <w:iCs/>
          <w:color w:val="20242B"/>
          <w:sz w:val="18"/>
          <w:szCs w:val="18"/>
          <w:shd w:val="clear" w:color="auto" w:fill="FFFFFF"/>
        </w:rPr>
      </w:pPr>
      <w:r w:rsidRPr="00A40E0E">
        <w:rPr>
          <w:i/>
          <w:iCs/>
          <w:color w:val="20242B"/>
          <w:sz w:val="18"/>
          <w:szCs w:val="18"/>
          <w:shd w:val="clear" w:color="auto" w:fill="FFFFFF"/>
        </w:rPr>
        <w:t xml:space="preserve">Zdroj: </w:t>
      </w:r>
      <w:proofErr w:type="spellStart"/>
      <w:r w:rsidRPr="00A40E0E">
        <w:rPr>
          <w:i/>
          <w:iCs/>
          <w:color w:val="20242B"/>
          <w:sz w:val="18"/>
          <w:szCs w:val="18"/>
          <w:shd w:val="clear" w:color="auto" w:fill="FFFFFF"/>
        </w:rPr>
        <w:t>Refinitiv</w:t>
      </w:r>
      <w:proofErr w:type="spellEnd"/>
      <w:r w:rsidRPr="00A40E0E">
        <w:rPr>
          <w:i/>
          <w:iCs/>
          <w:color w:val="20242B"/>
          <w:sz w:val="18"/>
          <w:szCs w:val="18"/>
          <w:shd w:val="clear" w:color="auto" w:fill="FFFFFF"/>
        </w:rPr>
        <w:t xml:space="preserve"> </w:t>
      </w:r>
      <w:proofErr w:type="spellStart"/>
      <w:r w:rsidRPr="00A40E0E">
        <w:rPr>
          <w:i/>
          <w:iCs/>
          <w:color w:val="20242B"/>
          <w:sz w:val="18"/>
          <w:szCs w:val="18"/>
          <w:shd w:val="clear" w:color="auto" w:fill="FFFFFF"/>
        </w:rPr>
        <w:t>Datastream</w:t>
      </w:r>
      <w:proofErr w:type="spellEnd"/>
      <w:r w:rsidRPr="00A40E0E">
        <w:rPr>
          <w:i/>
          <w:iCs/>
          <w:color w:val="20242B"/>
          <w:sz w:val="18"/>
          <w:szCs w:val="18"/>
          <w:shd w:val="clear" w:color="auto" w:fill="FFFFFF"/>
        </w:rPr>
        <w:t xml:space="preserve">, </w:t>
      </w:r>
      <w:proofErr w:type="spellStart"/>
      <w:r w:rsidRPr="00A40E0E">
        <w:rPr>
          <w:i/>
          <w:iCs/>
          <w:color w:val="20242B"/>
          <w:sz w:val="18"/>
          <w:szCs w:val="18"/>
          <w:shd w:val="clear" w:color="auto" w:fill="FFFFFF"/>
        </w:rPr>
        <w:t>Fidelity</w:t>
      </w:r>
      <w:proofErr w:type="spellEnd"/>
      <w:r w:rsidRPr="00A40E0E">
        <w:rPr>
          <w:i/>
          <w:iCs/>
          <w:color w:val="20242B"/>
          <w:sz w:val="18"/>
          <w:szCs w:val="18"/>
          <w:shd w:val="clear" w:color="auto" w:fill="FFFFFF"/>
        </w:rPr>
        <w:t xml:space="preserve"> International, červen 2024.</w:t>
      </w:r>
    </w:p>
    <w:p w14:paraId="46CA6458" w14:textId="77777777" w:rsidR="00A40E0E" w:rsidRDefault="00A40E0E" w:rsidP="00A40E0E">
      <w:r>
        <w:t xml:space="preserve">Ze sektorového pohledu je těžké odhlédnout od ziskové dynamiky technologických společností a líbí se nám také pozitivní revize zisků amerických a evropských finančních společností. </w:t>
      </w:r>
    </w:p>
    <w:p w14:paraId="25735F2E" w14:textId="77777777" w:rsidR="00A40E0E" w:rsidRDefault="00A40E0E" w:rsidP="00A40E0E">
      <w:r>
        <w:t>Dále se nám líbí konvertibilní dluhopisy, které mohou těžit z případné pokračující akciové síly a zároveň nabídnout určitou ochranu, pokud se úvěrové spready výrazně nerozšíří. Jedná se o segment trhu, který představuje stále více kvalitnějších emitentů, včetně některých z atraktivních růstových sektorů, jako jsou technologie.</w:t>
      </w:r>
    </w:p>
    <w:p w14:paraId="04343C44" w14:textId="77777777" w:rsidR="00A40E0E" w:rsidRDefault="00A40E0E" w:rsidP="00A40E0E">
      <w:r>
        <w:lastRenderedPageBreak/>
        <w:t xml:space="preserve">Využití podobných tržních příležitostí by mohlo v tomto čtvrtletí pomoci pozvednout výkonnost portfolia. Globální ekonomika nyní pulzuje v pozitivním rytmu, ale rozdílné nastavení monetárních politik bude znamenat diferencovanou výkonnost napříč aktivy. </w:t>
      </w:r>
    </w:p>
    <w:p w14:paraId="62F8AF5A" w14:textId="77777777" w:rsidR="00A40E0E" w:rsidRDefault="00A40E0E" w:rsidP="00A40E0E"/>
    <w:p w14:paraId="796C07CD" w14:textId="77777777" w:rsidR="00A40E0E" w:rsidRDefault="00A40E0E" w:rsidP="00A40E0E">
      <w:pPr>
        <w:rPr>
          <w:i/>
        </w:rPr>
      </w:pPr>
    </w:p>
    <w:p w14:paraId="7360C909" w14:textId="20192056" w:rsidR="005B19D9" w:rsidRPr="005B19D9" w:rsidRDefault="005B19D9" w:rsidP="003A33EF">
      <w:pPr>
        <w:pStyle w:val="FIL3Body"/>
        <w:rPr>
          <w:rFonts w:cs="Arial"/>
          <w:color w:val="auto"/>
          <w:sz w:val="20"/>
          <w:szCs w:val="20"/>
          <w:lang w:val="cs-CZ" w:eastAsia="cs-CZ"/>
        </w:rPr>
      </w:pPr>
    </w:p>
    <w:p w14:paraId="3C9FA4F5" w14:textId="77777777" w:rsidR="00AA2A82" w:rsidRDefault="00AA2A82" w:rsidP="00C07703">
      <w:pPr>
        <w:pStyle w:val="Normlnweb"/>
        <w:spacing w:line="360" w:lineRule="auto"/>
        <w:rPr>
          <w:color w:val="20242B"/>
          <w:shd w:val="clear" w:color="auto" w:fill="FFFFFF"/>
        </w:rPr>
      </w:pPr>
    </w:p>
    <w:p w14:paraId="3F666FA4" w14:textId="77777777" w:rsidR="00AA2A82" w:rsidRPr="00AA2A82" w:rsidRDefault="00AA2A82" w:rsidP="00AA2A82">
      <w:pPr>
        <w:pStyle w:val="F2-zkladn"/>
      </w:pPr>
    </w:p>
    <w:p w14:paraId="3B45AF67" w14:textId="74834660"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13BB0D6" w14:textId="377A4584"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61513033" w14:textId="77777777" w:rsidR="006E78BA" w:rsidRPr="006E78BA" w:rsidRDefault="006E78BA" w:rsidP="006E78BA">
      <w:pPr>
        <w:pStyle w:val="F2-zkladn"/>
        <w:rPr>
          <w:lang w:eastAsia="en-U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lastRenderedPageBreak/>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2281CDF2" w14:textId="48AF9918" w:rsidR="001F1241" w:rsidRDefault="00E15664" w:rsidP="005B19D9">
      <w:pPr>
        <w:pStyle w:val="F2-zkladn"/>
      </w:pPr>
      <w:r w:rsidRPr="00E15664">
        <w:t>MKAT12329</w:t>
      </w:r>
    </w:p>
    <w:sectPr w:rsidR="001F1241" w:rsidSect="00F50497">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9A606" w14:textId="77777777" w:rsidR="00423C6F" w:rsidRDefault="00423C6F">
      <w:r>
        <w:separator/>
      </w:r>
    </w:p>
  </w:endnote>
  <w:endnote w:type="continuationSeparator" w:id="0">
    <w:p w14:paraId="22C4DE45" w14:textId="77777777" w:rsidR="00423C6F" w:rsidRDefault="0042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1A1F" w14:textId="77777777" w:rsidR="00423C6F" w:rsidRDefault="00423C6F">
      <w:r>
        <w:separator/>
      </w:r>
    </w:p>
  </w:footnote>
  <w:footnote w:type="continuationSeparator" w:id="0">
    <w:p w14:paraId="320BB2EF" w14:textId="77777777" w:rsidR="00423C6F" w:rsidRDefault="00423C6F">
      <w:r>
        <w:continuationSeparator/>
      </w:r>
    </w:p>
  </w:footnote>
  <w:footnote w:type="continuationNotice" w:id="1">
    <w:p w14:paraId="6FF0D7B4" w14:textId="77777777" w:rsidR="00423C6F" w:rsidRDefault="00423C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3"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0"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3703941">
    <w:abstractNumId w:val="17"/>
  </w:num>
  <w:num w:numId="2" w16cid:durableId="1638339720">
    <w:abstractNumId w:val="32"/>
  </w:num>
  <w:num w:numId="3" w16cid:durableId="1582174134">
    <w:abstractNumId w:val="38"/>
  </w:num>
  <w:num w:numId="4" w16cid:durableId="1727561179">
    <w:abstractNumId w:val="22"/>
  </w:num>
  <w:num w:numId="5" w16cid:durableId="56979214">
    <w:abstractNumId w:val="24"/>
  </w:num>
  <w:num w:numId="6" w16cid:durableId="52699439">
    <w:abstractNumId w:val="20"/>
  </w:num>
  <w:num w:numId="7" w16cid:durableId="1526748972">
    <w:abstractNumId w:val="36"/>
  </w:num>
  <w:num w:numId="8" w16cid:durableId="1090007024">
    <w:abstractNumId w:val="26"/>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5"/>
  </w:num>
  <w:num w:numId="21" w16cid:durableId="1552955819">
    <w:abstractNumId w:val="30"/>
  </w:num>
  <w:num w:numId="22" w16cid:durableId="1722094048">
    <w:abstractNumId w:val="12"/>
  </w:num>
  <w:num w:numId="23" w16cid:durableId="1472819905">
    <w:abstractNumId w:val="10"/>
  </w:num>
  <w:num w:numId="24" w16cid:durableId="1979648277">
    <w:abstractNumId w:val="13"/>
  </w:num>
  <w:num w:numId="25" w16cid:durableId="1164123908">
    <w:abstractNumId w:val="18"/>
  </w:num>
  <w:num w:numId="26" w16cid:durableId="2000425049">
    <w:abstractNumId w:val="35"/>
  </w:num>
  <w:num w:numId="27" w16cid:durableId="339890089">
    <w:abstractNumId w:val="29"/>
  </w:num>
  <w:num w:numId="28" w16cid:durableId="571113239">
    <w:abstractNumId w:val="19"/>
  </w:num>
  <w:num w:numId="29" w16cid:durableId="1961842128">
    <w:abstractNumId w:val="21"/>
  </w:num>
  <w:num w:numId="30" w16cid:durableId="1308898731">
    <w:abstractNumId w:val="23"/>
  </w:num>
  <w:num w:numId="31" w16cid:durableId="297690701">
    <w:abstractNumId w:val="31"/>
  </w:num>
  <w:num w:numId="32" w16cid:durableId="1759861628">
    <w:abstractNumId w:val="39"/>
  </w:num>
  <w:num w:numId="33" w16cid:durableId="2037387264">
    <w:abstractNumId w:val="28"/>
  </w:num>
  <w:num w:numId="34" w16cid:durableId="1056201924">
    <w:abstractNumId w:val="37"/>
  </w:num>
  <w:num w:numId="35" w16cid:durableId="1984849997">
    <w:abstractNumId w:val="41"/>
  </w:num>
  <w:num w:numId="36" w16cid:durableId="1007513551">
    <w:abstractNumId w:val="14"/>
  </w:num>
  <w:num w:numId="37" w16cid:durableId="1296060939">
    <w:abstractNumId w:val="34"/>
  </w:num>
  <w:num w:numId="38" w16cid:durableId="1285503461">
    <w:abstractNumId w:val="16"/>
  </w:num>
  <w:num w:numId="39" w16cid:durableId="540216830">
    <w:abstractNumId w:val="27"/>
  </w:num>
  <w:num w:numId="40" w16cid:durableId="409815651">
    <w:abstractNumId w:val="33"/>
  </w:num>
  <w:num w:numId="41" w16cid:durableId="1296642131">
    <w:abstractNumId w:val="40"/>
  </w:num>
  <w:num w:numId="42" w16cid:durableId="1995525430">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54D3A"/>
    <w:rsid w:val="0015633B"/>
    <w:rsid w:val="00160EB2"/>
    <w:rsid w:val="00161993"/>
    <w:rsid w:val="001628BC"/>
    <w:rsid w:val="0016361E"/>
    <w:rsid w:val="00165789"/>
    <w:rsid w:val="00170309"/>
    <w:rsid w:val="001715D9"/>
    <w:rsid w:val="00172511"/>
    <w:rsid w:val="00172F1C"/>
    <w:rsid w:val="0017506A"/>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19BC"/>
    <w:rsid w:val="001B1BBD"/>
    <w:rsid w:val="001B23C8"/>
    <w:rsid w:val="001B2BE9"/>
    <w:rsid w:val="001B306F"/>
    <w:rsid w:val="001B353C"/>
    <w:rsid w:val="001B489F"/>
    <w:rsid w:val="001B69B7"/>
    <w:rsid w:val="001C02E6"/>
    <w:rsid w:val="001C21DF"/>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37EC"/>
    <w:rsid w:val="00224347"/>
    <w:rsid w:val="00224EAE"/>
    <w:rsid w:val="00225670"/>
    <w:rsid w:val="002268F9"/>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336D"/>
    <w:rsid w:val="00266BB2"/>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4A3F"/>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33EF"/>
    <w:rsid w:val="003A415C"/>
    <w:rsid w:val="003A4774"/>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5A0"/>
    <w:rsid w:val="004238B6"/>
    <w:rsid w:val="00423C6F"/>
    <w:rsid w:val="00424771"/>
    <w:rsid w:val="00425B35"/>
    <w:rsid w:val="00427801"/>
    <w:rsid w:val="0043115E"/>
    <w:rsid w:val="00431E52"/>
    <w:rsid w:val="00433AB4"/>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63EC"/>
    <w:rsid w:val="00487542"/>
    <w:rsid w:val="0049074E"/>
    <w:rsid w:val="004907F4"/>
    <w:rsid w:val="00493172"/>
    <w:rsid w:val="00493333"/>
    <w:rsid w:val="0049538C"/>
    <w:rsid w:val="004955BB"/>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DF1"/>
    <w:rsid w:val="00731F2B"/>
    <w:rsid w:val="00734AFD"/>
    <w:rsid w:val="00735E32"/>
    <w:rsid w:val="00736BEA"/>
    <w:rsid w:val="007375D0"/>
    <w:rsid w:val="00740095"/>
    <w:rsid w:val="00742862"/>
    <w:rsid w:val="00742FD0"/>
    <w:rsid w:val="007432EF"/>
    <w:rsid w:val="00743FE9"/>
    <w:rsid w:val="0074497D"/>
    <w:rsid w:val="00745DD0"/>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730D"/>
    <w:rsid w:val="007C7393"/>
    <w:rsid w:val="007D0C6A"/>
    <w:rsid w:val="007D391B"/>
    <w:rsid w:val="007D3B29"/>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14EC"/>
    <w:rsid w:val="0080235B"/>
    <w:rsid w:val="008029BA"/>
    <w:rsid w:val="008075EA"/>
    <w:rsid w:val="008111C3"/>
    <w:rsid w:val="008125BE"/>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D66"/>
    <w:rsid w:val="0087590B"/>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3B73"/>
    <w:rsid w:val="008F7D0D"/>
    <w:rsid w:val="00900CE5"/>
    <w:rsid w:val="00902C6A"/>
    <w:rsid w:val="00904CA9"/>
    <w:rsid w:val="00905911"/>
    <w:rsid w:val="00906090"/>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0E0E"/>
    <w:rsid w:val="00A41C95"/>
    <w:rsid w:val="00A42739"/>
    <w:rsid w:val="00A43393"/>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6061"/>
    <w:rsid w:val="00B1645D"/>
    <w:rsid w:val="00B16CC2"/>
    <w:rsid w:val="00B17C66"/>
    <w:rsid w:val="00B17DAF"/>
    <w:rsid w:val="00B17E1E"/>
    <w:rsid w:val="00B21C56"/>
    <w:rsid w:val="00B24AE7"/>
    <w:rsid w:val="00B25103"/>
    <w:rsid w:val="00B27A8F"/>
    <w:rsid w:val="00B27B2E"/>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60AD8"/>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455"/>
    <w:rsid w:val="00D869C3"/>
    <w:rsid w:val="00D905D5"/>
    <w:rsid w:val="00D91AE1"/>
    <w:rsid w:val="00DA1684"/>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0530"/>
    <w:rsid w:val="00F91D8A"/>
    <w:rsid w:val="00F93915"/>
    <w:rsid w:val="00F94304"/>
    <w:rsid w:val="00F943F5"/>
    <w:rsid w:val="00F94501"/>
    <w:rsid w:val="00F94AF9"/>
    <w:rsid w:val="00F94F1B"/>
    <w:rsid w:val="00F957AF"/>
    <w:rsid w:val="00F96174"/>
    <w:rsid w:val="00FA08E4"/>
    <w:rsid w:val="00FA2515"/>
    <w:rsid w:val="00FA269B"/>
    <w:rsid w:val="00FA340A"/>
    <w:rsid w:val="00FA4F9B"/>
    <w:rsid w:val="00FA5DAA"/>
    <w:rsid w:val="00FA710D"/>
    <w:rsid w:val="00FB0D18"/>
    <w:rsid w:val="00FB0D71"/>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styleId="Nevyeenzmnka">
    <w:name w:val="Unresolved Mention"/>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1579</Words>
  <Characters>9320</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10878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16</cp:revision>
  <cp:lastPrinted>2015-11-30T16:29:00Z</cp:lastPrinted>
  <dcterms:created xsi:type="dcterms:W3CDTF">2024-06-26T10:43:00Z</dcterms:created>
  <dcterms:modified xsi:type="dcterms:W3CDTF">2024-06-27T08:03:00Z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